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9 сентября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Республики Татарстан от 16.10.2019, оставленным без изменения постановлением Одиннадцатого арбитражного апелляционного суда от 21.01.2020, взыскано 400 000 рублей страхового возмещения, 10 000 рублей расходов на услуги эксперта, неустойка за период с даты вынесения решения суда по дату его исполнения, 20 000 рублей расходов на услуги представителя. Арбитражный суд Поволжского округа постановлением от 15.05.2020 решение от 16.10.2019 и постановление Одиннадцатого арбитражного апелляционного суда от 21.01.2020 оставил без изменения. 2 В кассационной жалобе предприниматель просит об отмене судебных актов в части периода взыскания неустойки, который просит установить с момента оглашения резолютивной части решения. Согласно части 1 статьи 291.11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Таких оснований в связи с доводами жалобы не усматривается. В резолютивной части решения не содержится указания на взыскание неустойки с даты принятия решения, определяемой датой его изготовления (пункт 2 статьи 176 Арбитражного процессуального кодекса Российской Федерации). Руководствуясь статьями 291.6,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индивидуальному предпринимателю Карезиной Е.В.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 Ксенофонтова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