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18.06.2019 в удовлетворении иска отказано. Постановлением Пятого арбитражного апелляционного суда от 19.12.2019, оставленным без изменения постановлением Арбитражного суда Дальневосточного округа от 15.05.2020, решение отменено, иск удовлетворен. В кассационной жалобе предприятие просит о пересмотре постановлений апелляционного и окружного судов, ссылаясь на отсутствие необходимых для взыскания убытков условий.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Обстоятельства, составляющие в силу статей 15 , 393 Гражданского кодекса Российской Федерации условия для взыскания убытков, установлены судами и требуемое изменение их оценки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унитарному предприятию «Примтеплоэнерго»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"Группа компаний "ЕКС" (подробнее) Ответчики: ГУП КРАЕВОЕ "ПРИМТЕПЛОЭНЕРГО" (подробнее) Иные лица: Пятый Арбитражный апелляционный суд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