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04.09.2019, оставленным без изменения постановлением Семнадцатого арбитражного апелляционного суда от 04.02.2020, взыскано 327 017 рублей 95 копеек задолженности, 62 841 рубль 51 копейка пеней и 15 000 рублей расходов на услуги представителя. Арбитражный суд Уральского округа постановлением от 22.05.2020 решение от 04.09.2019 и постановление Семнадцатого арбитражного апелляционного суда от 04.02.2020 оставил без изменения. В кассационной жалобе общество «СтройХимПроект» просит об отмене судебных актов, ссылаясь на игнорирование ненадлежащих доказательств поставки, неосновательный отказ в назначении экспертизы и в приобщении дополнительных доказательств апелляционным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 , 486 , 506 , 516 Гражданского кодекса Российской Федерации, суды удовлетворили иск на основании установленных фактов поставки истцом товара по договору от 28.02.2018 № 28-02/ТУК и неоплаты товара ответчиком.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«СтройХимПроект»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"ГРУППА КОМПАНИЙ "КАМА" (подробнее) Ответчики: ООО "СтройХимПроект"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