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13.06.2019, оставленным без изменения постановлением Девятого арбитражного апелляционного суда от 05.12.2019 и постановлением Арбитражного суда Московского округа от 22.05.2020, в удовлетворении иска отказано. В кассационной жалобе общество «Страховая компания «Арсеналъ» просит об отмене судебных актов вследствие неправильного применения норм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страховое возмещение уплачено обществом «Страховая компания «Арсеналъ» в связи с наступившим страховым случаем, попадающим под действие заключенного обществом контракта от 12.09.2016 № 31/29 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полиции». В указанной ситуации правовых оснований для переложения выплаченной суммы на ответчика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