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03.10.2019, оставленным без изменения постановлением Тринадцатого арбитражного апелляционного суда от 27.01.2020, иск удовлетворен. Арбитражный суд Северо-Западного округа постановлением от 26.05.2020 решение от 03.10.2019 и постановление Тринадцатого арбитражного апелляционного суда от 27.01.2020 оставил без изменения. В кассационной жалобе общество просит об отмене судебных актов, ссылаясь на неустановление фактического объема и стоимости оказанных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основаны на условиях и обстоятельствах исполнения договора от 01.05.2018 № 357, исследованных и оцененных судами, и соответствуют статьям 779 , 781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МУП "ЖИЛИЩНО-КОММУНАЛЬНАЯ СЛУЖБА П.ВЯРТСИЛЯ" (подробнее) Ответчики: ООО "СпецТранс"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