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28.10.2019 исковое заявление возвращено. Постановлением Девятого арбитражного апелляционного суда от 19.12.2019, оставленным без изменения постановлением Арбитражного суда Московского округа от 29.06.2020, определение от 28.10.2019 отменено, вопрос направлен на новое рассмотрение в Арбитражный суд города Москвы. В кассационной жалобе общество «Вершина» просит об отмене судебных актов, ссылаясь на отсутствие условий для привлечения к участию в деле нескольких ответчиков и выбора подсудности по месту нахождения одного из них.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Проверка обоснованности предъявляемых ответчикам требований на стадии принятия искового заявления не производится. Суды правомерно исходили из права истца на выбор арбитражного суда.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«Вершина»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