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20.08.2019 иск удовлетворен. Восемнадцатый арбитражный апелляционный суд постановлением от 25.10.2019 изменил решение от 20.08.2019 и взыскал 5 000 000 рублей авансового платежа, 895 000 рублей неустойки по состоянию на 25.12.2018 за неисполнение обязанности по поставке оборудования, 7 940 000 рублей неустойки по состоянию на 13.08.2019 за неисполнение обязанности по возврату 2 045 000 рублей аванса и далее из расчета 0,1% за каждый день просрочки от суммы основного долга по дату фактического исполнения решения. Арбитражный суд Уральского округа постановлением от 20.05.2020 постановление Восемнадцатого арбитражного апелляционного суда от 25.10.2019 оставил без изменения. В кассационной жалобе завод просит об отмене судебных актов апелляционного и окружного судов, ссылаясь на неосновательное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Уменьшение неустойки в силу статьи 333 Гражданского кодекса Российской Федерации является правом суда. В рамках рассматриваемого дела применение названного права основано на соответствующем заявлении ответчика и наличии обстоятельств удовлетворяющих установленным законом критериям для уменьшения неустойки.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«ФИО2 ремонтно- 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"Златоустовский ремонтно-механический завод" (подробнее) Ответчики: ООО "Уралтранскомбизнес"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