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30.08.2019, оставленным без изменения постановлением Девятого арбитражного апелляционного суда от 02.12.2019, взыскано 1 665 000 рублей задолженности. Арбитражный суд Московского округа постановлением от 15.05.2020 решение от 30.08.2019 и постановление Девятого арбитражного апелляционного суда от 02.12.2019 оставил без изменения. В кассационной жалобе общество «Бренд Трейд» просит об отмене судебных актов как не соответствующих доказательствам произведенных поставок и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объеме поставок и несогласованности условия о неустойке основаны на представленных доказательствах. Требуемая в жалобе изменение оценки доказательств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«Бренд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"БРЕНД ТРЕЙД" (подробнее) Ответчики: ООО "ПИНТАКЛАБ"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