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01.10.2019, оставленным без изменения постановлением Девятого арбитражного апелляционного суда от 16.12.2019, исковые требования удовлетворены. Арбитражный суд Московского округа постановлением от 19.05.2020 решение от 01.10.2019 и постановление Девятого арбитражного апелляционного суда от 16.12.2019 оставил без изменения. В кассационной жалобе общество «Профит Центр» просит об отмене судебных актов вследствие неизвещения о рассмотрении дела судом первой инстанции, несоблюдения досудебного порядка урегулирования спора, лишения возможности представления контррасчета в связи с отменой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Извещение заявителя о начавшемся процессе проверено апелляционным и окружным судами, рассматривавшими жалобы ответчика в присутствии его представителя. Последствия неучастия в суде первой инстанции и непредставления возражений при надлежащем извещении о начавшемся процессе несет заявитель.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"Меркурий-Металл-Групп" (подробнее) Ответчики: ООО "Профит Центр"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