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03.10.2019, принятым в порядке упрощенного производства, иск удовлетворен. Девятый арбитражный апелляционный суд перешел к рассмотрению дела по общим правилам искового производства и постановлением от 21.01.2020 отменил решение от 03.10.2019, отказав в удовлетворении иска. Арбитражный суд Московского округа постановлением от 08.06.2020 оставил без изменения постановление Девятого арбитражного апелляционного суда от 21.01.2020. В кассационной жалобе общество «ЮНИТ-Сервис Москва» просит об отмене судебных актов апелляционного и окружного судов вследствие неверной оценки спорных правоотношений и неправильного исчисления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 установил, что поставка осуществлена истцом в рамках правоотношений с третьим лицом, являющимся стороной договора от 25.02.2009 № 2626, заключенного с ответчиком, и ответчик переданное оборудование оплатил. В такой ситуации в отношении ответчика поставка не обладает признаками неосновательного обогащения. Отказ в иске не основан только на применении исковой давности, но ее срок исчислен апелляционным судов в соответствии с правилами статей 196 , 200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«ЮНИТ-Сервис Москва»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"ЮНИТ-Сервис Москва" (подробнее) Ответчики: ООО "Ресторанная Объединенная Сеть и Новейшие Технологии Евроамериканского Развития Ресторантс"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