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19.09.2019, оставленным без изменения постановлением Девятнадцатого арбитражного апелляционного суда от 05.12.2019, в удовлетворении иска отказано. Арбитражный суд Центрального округа постановлением от 26.05.2020 решение от 19.09.2019 и постановление Девятнадцатого арбитражного апелляционного суда от 05.12.2019 оставил без изменения. В кассационной жалобе общество «Гарант Сервис» просит об отмене судебных актов, ссылаясь на соответствие уступки требования действующему законодательству и неосновательную оценку поведения истца в качестве недобросовестной.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Установленный Федеральным законом от 25.04.2002 № 40-ФЗ «Об обязательном страховании гражданской ответственности владельцев транспортных средств» порядок взаимодействия сторон договора обязательного страхования в отношении страхового возмещения не может быть изменен соглашением между потерпевшим и сторонним лицом. Поскольку на момент заключения первого договора цессии у цедента (потерпевшего) отсутствовало права на получение страхового возмещения в денежном выражении, оно не могло быть передано на основании договора уступки. Оценка судами действий сторон в связи со страховым случаем осуществлена в пределах компетенции и не подлежит изменению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"Гарант Сервис" (подробнее) Ответчики: ПАО СК "Росгосстрах" в лице Орловского филиала ПАО СК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