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12.09.2019, оставленным без изменения постановлением Семнадцатого арбитражного апелляционного суда от 02.12.2019, иск удовлетворен в части взыскания с компании 31 020 рублей штрафа и 120 рублей расходов на вызов аварийной бригады и с предприятия «Формация» – 210 514 рублей ущерба, 15 605 рублей 20 копеек расходов на услуги по составлению заключения специалиста, 575 рублей 02 копеек почтовых расходов, 2 400 рублей расходов на вызов аварийной бригады. Арбитражный суд Уральского округа постановлением от 20.05.2020 решение от 12.09.2019 и постановление Семнадцатого арбитражного апелляционного суда от 02.12.2019 оставил без изменения. В кассационной жалобе компания просит об отмене судебных актов, ссылаясь на отсутствие у общества права на взыскание штрафа за просрочку выплаты страхового возмещения.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договором страхования арендуемых объектов нежилого фонда от 07.02.2018 № 31/69000627П2-Т за просрочку выплаты страхового возмещения предусмотрен штраф (пункт 4.4.2). Вывод судов о том, что судьба штрафа следует судьбе страховой выплаты, в отношении которой страхователь (департамент) распорядился в пользу общества, соответствует обеспечительному характеру штрафа.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«Екатеринбург»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СТРОИТЕЛЬНОЕ ОБОРУДОВАНИЕ И МАТЕРИАЛЫ (подробнее) Ответчики: ГУП Свердловской области "Фармация" (подробнее) ООО "СТРАХОВАЯ КОМПАНИЯ ЕКАТЕРИНБУРГ" (подробнее) Иные лица: ГУП СВЕРДЛОВСКОЙ ОБЛАСТИ ФАРМАЦИЯ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