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Воронежской области от 30.07.2019, оставленным без изменения постановлением Девятнадцатого арбитражного апелляционного суда от 14.11.2019 и постановлением Арбитражного суда Центрального округа от 29.05.2020, в удовлетворении заявления отказано. В кассационной жалобе общество просит об отмене судебных актов, ссылаясь на ненадлежащую оценку установленного судебным актом в деле № А14-16396/2016 обстоятельства.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Признание в деле № А14-16396/2016 незаконным отказа в совершении расчетной операции не находится в причинно-следственной связи с оспариваемым по настоящему делу отказом в заключении договора банковского счета, поэтому в отношении решения от 28.03.2017 не обладает признаками, влекущими в силу пункта 1 части 3 статьи 311 Арбитражного процессуального кодекса Российской Федерации пересмотр судебного акта.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«Гарант»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"Гарант" (подробнее) ООО ИК "Парус" (подробнее) Ответчики: ПАО Банк ВТБ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