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включении в реестр требований кредиторов должника его требования в размере 37 452 942 рублей 69 копеек. Определением Арбитражного суда города Москвы от 08.11.2019 требование признано обоснованным и подлежащим удовлетворению за счёт имущества, оставшегося после удовлетворения требований реестровых кредиторов. Постановлением Девятого арбитражного апелляционного суда от 27.01.2020, оставленного без изменения постановлением Арбитражного суда Московского округа от 26.05.2020, вышеуказанное определение отменено, в удовлетворении требования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неподтвержденности наличия и размера задолженности.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«Галилео Нанотех»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