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03.10.2019, оставленным без изменения постановлением Тринадцатого арбитражного апелляционного суда от 21.01.2020, в удовлетворении иска отказано. Арбитражный суд Северо-Западного округа постановлением от 21.05.2020 решение от 03.10.2019 и постановление Тринадцатого арбитражного апелляционного суда от 21.01.2020 оставил без изменения. В кассационной жалобе компания просит об отмене судебных актов, ссылаясь на неправомерное освобождение грузоотправителя от ответственности по договору международной перевозки.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кассационной жалобы не усматривается. Суды не установили причинно-следственной связи заявленных расходов с исполнением ответчиком обязанностей в пределах договора международной перевозки груза и собственно нарушение ответчиком договора перевозки, необходимых в качестве условий для взыскания убытков, поэтому правомерно отказали в иске.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«JTK OU»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JTK OU (подробнее) Ответчики: АО "Группа "Илим"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