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обратилась в суд с заявлением об исключении из конкурсной массы квартиры, расположенной по адресу: Самарская область, город Самара, Железнодорожный район, улица Дачная, дом 41, квартира 69, кадастровый номер: 63:01:0109005:1476 (далее – квартира). Определением Арбитражного суда Самарской области от 29.10.2019, оставленным без изменения постановлениями Одиннадцатого арбитражного апелляционного суда от 24.12.2019 и Арбитражного суда Поволжского округа от 14.05.2020,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Исключая квартиру должника из конкурсной массы, суды, руководствуясь статьёй 446 Гражданского процессуального кодекса Российской Федерации, статьями 213.1, 213.25 Федерального закона от 26.10.2002 № 127-ФЗ «О несостоятельности (банкротстве), пунктами 3, 5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массе в делах о банкротстве граждан», исходили из обладания ею статуса единственного пригодного для постоянного проживания должника и членов его семьи жилья (исполнительского иммунитета), особо отметив, что банком не заявлялось обеспеченное залогом названной квартиры требование к должнику, в связи с чем в подобной ситуации он не праве рассчитывать на получение удовлетворения за счёт данного имущества.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«ЮниКредит 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Ленинский районный суд г. Самары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