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18.06.2019, принятым в порядке упрощенного производства, иск удовлетворен. Определением Девятого арбитражного апелляционного суда от 28.10.2019 суд перешел к рассмотрению дела по общим правилам искового производства. Постановлением Девятого арбитражного суда от 15.01.2020, оставленным без изменения постановлением Арбитражного суда Московского округа от 28.05.2020, решение отменено, иск удовлетворен. В кассационной жалобе общество «Арена» просит отменить судебные акты апелляционного и окружного судов как основанные на недопустимых доказательствах и неправильно истолкованных условиях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оказание истцом услуг в рамках договоров от 27.04.2018 № 27/04/18-КЛ и № 27/04-18ТО независимо от неподписания ответчиком предъявленных актов подтверждается другими доказательствами, обозначенными и исследованными судом и признанными относимыми и допустимыми, создающими в силу статей 779 , 781 Гражданского кодекса Российской Федерации основание для оплаты их ответчиком. Упомянутые в жалобе действия суда, которые заявитель считает процессуальным нарушением (часть 3 статьи 288 Арбитражного процессуального кодекса Российской Федерации), таковыми не являются и связанный с ними довод не влияет на судьбу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 АССЕТС" (подробнее) Ответчики: ООО "АРЕНА"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