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24.10.2019 в удовлетворении иска отказано. Одиннадцатый арбитражный апелляционный суд постановлением от 10.01.2020 изменил решение от 24.10.2019, взыскав 5 000 рублей пеней за нарушение сроков исполнения договора за период с 08.11.2018 по 15.04.2019. Арбитражный суд Поволжского округа постановлением от 02.06.2020 постановление Одиннадцатого арбитражного апелляционного суда от 10.01.2020 оставил без изменения. В кассационной жалобе общество «Цифровая Империя» просит об отмене судебных актов, ссылаясь на неправильную квалификацию правоотношений сторон по договору и отсутствие оценки последствий нарушения срока исполнения ответчиком обязательства.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Установленные судами выполнение работ, наличие у них потребительской ценности независимо от правовой квалификации договора от 09.10.2018 № 1 влекут возникновение у заказчика (истца) обязанности по оплате. За нарушение срока исполнения обязательства с ответчика взысканы пени. Иная оценка заявителем последствий нарушения срока исполнения обязательства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«Цифровая Империя»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"Цифровая Империя" (подробнее) Ответчики: ИП Горохов Глеб Владимирович (подробнее) Иные лица: ОСП Автозаводского района г.Тольятти Самарской области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