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05.08.2019, оставленным без изменения постановлением Девятого арбитражного апелляционного суда от 22.11.2019, исковые требования удовлетворены. Арбитражный суд Московского округа постановлением от 10.06.2020 оставил без изменения решение от 05.08.2019 и постановление Девятого арбитражного апелляционного суда от 22.11.2020. В кассационной жалобе общество «Евростройхолдинг+» просит об отмене судебных актов, ссылаясь на игнорирование судами необоснованных притязаний истца.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оценили обстоятельства исполнения договора аренды оборудования от 01.03.2017 № 4868-А на соответствие условиям договора и установили, что претензии истца в отношении состояния возвращенного ответчиком оборудования являются принятыми в отсутствие по ним возражений в согласованный срок. Вопросы доказывания и оценки доказательств, на которых основаны доводы жалобы, не составляют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«Евростройхолдинг+»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"ПЕРИ" (подробнее) Ответчики: ООО "Евростройхолдинг+"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