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03.03.2020 суд выделены в отдельное производство требование о взыскании 920 592руб 70 копеек аванса по первоначальному иску, требование о взыскании 394 539 рублей 73 копеек задолженности по встречному иску и самостоятельные требования третьего лица о взыскании с общества «СБ Девелопмент» 1 937 500 рублей задолженности. Определением Тринадцатого арбитражного апелляционного суда от 14.05.2020, оставленным без изменения постановлением Арбитражного суда Северо-Западного округа от 03.07.2020, апелляционная жалоба общества «СБ Девелопмент» на определение от 03.03.2020 возвращена на основании пункта 2 части 1 статьи 264 Арбитражного процессуального кодекса Российской Федерации. 2 В кассационной жалобе общество «СБ Девелопмент» просит о пересмотре судебных актов, ссылаясь на основанную на судебной практике возможность обжалования судебных актов.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Возвращение апелляционной жалобы основано на правовой позиции, содержащейся в постановлении Пленума Высшего Арбитражного Суда Российской Федерации от 28.05.2009 № 36 «О применении Арбитражного процессуального кодекса Российской Федерации при рассмотрении дел в арбитражном суде апелляционной инстанции», согласно которой возможность обжалования определения о выделении некоторых требований в отдельное производство в порядке апелляционного производства отдельно от обжалования судебного акта, которым заканчивается рассмотрение дела по существу, не предусмотрена.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«СБ Девелопмент»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