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24.05.2019, оставленным без изменения постановлением Девятнадцатого арбитражного апелляционного суда от 14.08.2019, иск удовлетворен в заявленном размере. Арбитражный суд Центрального округа постановлением от 01.06.2020 решение от 24.05.2019 и постановление Девятнадцатого арбитражного апелляционного суда от 14.08.2019 оставил без изменения. В кассационной жалобе общество «Группа Оконных Компаний» просит об отмене судебных актов вследствие перечисления денежных средств в рамках договора, действие которого не прекратилось.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поставок на заявленную сумму и потребности истца в товаре, поэтому обязали вернуть авансовый платеж в соответствии с обстоятельствами исполнения договора от 11.07.2016 № 1003275. Иная оценка заявителем правоотношений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Оконных Компаний»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