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09.10.2019, оставленным без изменения постановлением Десятого арбитражного апелляционного суда от 13.12.2019 и постановлением Арбитражного суда Московского округа от 25.05.2020, в удовлетворении иска отказано. В кассационной жалобе акционерное общество «Стройнефтепродукт» просит о пересмотре судебных актов, ссылаясь на фальсификацию документов о задолженности перед ответчиком и получение сведений об истинном размере задолженности из судебных актов суда общей юрисдикции, последний из которых должен приниматься за начало течения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задолженность истца установлена судебным актом по делу № А41-12511/2011 Арбитражного суда Московской области и в силу обязательности этого акта не подлежит изменению в рамках рассматриваемого дела. Исковая давность не влияет на результат рассмотрения дела, но ее срок исчислен судами по правилам статей 196 , 200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«Стройнефтепродукт»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"Стройнефтепродукт" (подробнее) Ответчики: ООО "Виктория"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