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16.08.2019, принятым в порядке упрощенного производства, иск удовлетворен в заявленном объеме. Шестнадцатый арбитражный апелляционный суд определением от 12.12.2019 перешел к рассмотрению дела по правилам для суда первой инстанции и постановлением от 03.02.2020 отменил решение от 16.08.2019 и отказал в удовлетворении иска. Арбитражный суд Северо-Кавказского округа постановлением от 30.06.2020 постановление Шестнадцатого арбитражного апелляционного суда от 03.02.2020 оставил без изменения. В кассационной жалобе предприниматель просит об отмене судебных актов апелляционного и окружного судов, ссылаясь на отсутствие у апелляционного суда оснований для перехода к рассмотрению дела по общим правилам искового судопроизводства и принятия дополнительных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инстанции, установив наличие законного условия для перехода из упрощенного производства в общеисковое (пункт 2 части 5 статьи 227 , часть 6.1 статьи 268 Арбитражного процессуального кодекса Российской Федерации), вправе был принимать и исследовать дополнительные доказательства, представленные сторонами.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Магомедов Ю.Г. (подробнее) ИП Магомедов Юсуп Гафурович (подробнее) Ответчики: ООО "СК "Согласие"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