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30.08.2019 в удовлетворении первоначального иска отказано, по встречному иску взыскано 3 037 000 рублей авансового платежа. Постановлением Семнадцатого арбитражного апелляционного суда от 31.12.2019, оставленным без изменения постановлением Арбитражного суда Уральского округа от 27.05.2020, решение отменено в части отказа в удовлетворении первоначального иска и этот иск удовлетворен. В результате зачета требований с завода взыскано 1 402 870 рублей 10 копеек убытков. В кассационной жалобе завод просит об отмене судебных актов апелляционного и окружного судов, ссылаясь на неправильную правовую квалификацию договора и нарушение процессуальных прав.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понесенные обществом «Сибирь Трейлер – Инжиниринг» затраты на исполнение договора от 23.03.2018 № 13/03-18, от которого завод отказался, являются убытками и подлежат взысканию в силу статей 15 , 393 Гражданского кодекса Российской Федерации. Первоначальный иск удовлетворен как обоснованный независимо от квалификации правоотношений. Нарушения апелляционным судом процессуальных прав завода не подтверждено.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«Завод «Синергия»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"СИБИРЬ ТРЕЙЛЕР-ИНЖИНИРИНГ" (подробнее) Ответчики: ООО "Завод "Синергия"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