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21.08.2019, оставленным без изменения постановлением Девятого арбитражного апелляционного суда от 09.12.2019 и постановлением Арбитражного суда Московского округа от 25.05.2020, иск удовлетворен частично. В кассационной жалобе общество просит о пересмотре судебных актов, ссылаясь на наличие оснований для освобождения от ответственности и неправомерный возврат апелляционным судом дополнительных доказательств таких оснований.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Обстоятельства исполнения договора, на которые как освобождающие от ответственности ссылается общество, учтены судами посредством уменьшения неустойки в порядке статьи 333 Гражданского кодекса Российской Федерации. Условия для принятия апелляционным судом дополнительных доказательств отсутствуют.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«Интек»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федеральное бюджетное учреждение "Федеральное управление по безопасному хранению и уничтожению химического оружия при Министерстве промышленности и торговли Российской Федерации (войсковая часть 70855)" (подробнее) Ответчики: ООО Интек (подробнее) Судьи дела: Ксенофонтова Н.А. (судья) (подробнее) Судебная практика по: Уменьшение неустойки Судебная практика по применению нормы ст. 333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