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06.08.2019, оставленным без изменения постановлением Тринадцатого арбитражного апелляционного суда от 26.11.2019, в удовлетворении иска отказано. Арбитражный суд Северо-Западного округа постановлением от 15.05.2020 решение от 06.08.2019 и постановление Тринадцатого арбитражного апелляционного суда от 26.11.2019 оставил без изменения. В кассационной жалобе общество «ОТС-Групп» просит об отмене судебных актов, ссылаясь на неправильную оценку правоотношений.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правомерно отнесли произведенные истцом расходы на приобретение товара в отсутствие согласованных с ответчиком условий поставки товара к предпринимательскому риску. Условия, необходимые в силу статей 15 , 393 Гражданского кодекса Российской Федерации для взыскания указанных расходов в качестве убытков, отсутствуют. Иная оценка заявителем правоотношений сторон и их последствий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«ОТС-Групп»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ОТС-ГРУПП (подробнее) Ответчики: ООО РОСТЕХРАЗВИТИЕ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