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Девятого арбитражного апелляционного суда от 06.02.2020, оставленным без изменения постановлением Арбитражного суда Московского округа от 01.06.2020, производство по апелляционной жалобе предпринимателя на решение Арбитражного суда города Москвы от 05.09.2019 прекращено в связи с отказом в удовлетворении ходатайства восстановлении срока на обжалование. В кассационной жалобе предприниматель просит о пересмотре судебных актов в связи с неправильным применением норм процессуального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Лица, участвующие в деле, несут риск наступления неблагоприятных последствий в результате непринятия мер по получению информации о движении дела, если надлежащим образом извещены о начавшемся процессе (часть 6 статьи 121 Арбитражного процессуального кодекса Российской Федерации). Апелляционный суд признал отсутствие основания для восстановления пропущенного срока на подачу апелляционной жалобы, оценив доводы предпринимателя, установив ее надлежащее извещение и руководствуясь статьями 117 , 121 , 123 , 259 Арбитражного процессуального кодекса Российской Федерации. Прекращение производства по апелляционной жалобе соответствует пункту 37 постановления Пленума Высшего Арбитражного Суда Российской Федерации от 25.12.2013 № 99 «О процессуальных сроках». На основании изложенного,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ВТБ ЛИЗИНГ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