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сентября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26.12.2019, оставленным без изменения постановлением Девятого арбитражного апелляционного суда от 05.02.2020, в удовлетворении первоначального иска отказано вследствие невыполнения истцом (покупателем) договорных обязательств, к исполнению которых он обязан посредством удовлетворения встречного иска. Арбитражный суд Московского округа постановлением от 02.06.2020 оставил без изменения решение от 26.12.2019 и постановление Девятого арбитражного апелляционного суда от 05.02.2020. В кассационной жалобе управление просит об отмене судебных актов вследствие неверного толкования условий договора поставки, принятия недопустимых доказательств.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установили нарушение истцом условий поставки о полной предварительной оплате товара и направлении отгрузочных документов, поэтому отказали управлению в иске. Вопросы толкования договора и оценки доказательств не создают оснований для кассационного пересмотра судебных актов.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«Специализированное управление отделочных работ»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ООО "СПЕЦИАЛИЗИРОВАННОЕ УПРАВЛЕНИЕ ОТДЕЛОЧНЫХ РАБОТ" (подробнее) Ответчики: ООО "ГРАН БЕРГ ГАЛАБАУ" (подробнее) Судьи дела: Ксенофонтова Н.А.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