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23.09.2019, оставленным без изменения постановлением Девятого арбитражного апелляционного суда от 05.02.2020 и постановлением Арбитражного суда Московского округа от 20.05.2020, в удовлетворения иска отказано. В кассационной жалобе общество «КРОНОС» просит отменить судебные акты, ссылаясь на неправильную квалификацию прекращения заводом договорных отношений.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Квалификация действий завода в вопросе прекращения договора от 02.04.2018 № 137-1 основана на условиях договора и не подлежит пересмотру на стадии кассационного производства.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«Промышленная группа «КРОНОС»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Промышленная группа "КРОНОС" (подробнее) Ответчики: ОАО "Щербинский лифтостроительный завод"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