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16.12.2019, оставленным без изменения постановлением Девятого арбитражного апелляционного суда от 13.02.2020, иск удовлетворен. Постановлением Арбитражного суда Московского округа от 11.08.2020 решение суда первой инстанции и постановление суда апелляционной инстанции отменены, дело направлено на новое рассмотрение в Арбитражный суд города Москвы. Не согласившись с постановлением суда округа, предприятие обратилось в Верховный Суд Российской Федерации с кассационной жалобой, одновременно заявив ходатайство о приостановлении его исполнения. В соответствии с частью 3 статьи 291.6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2 кассационной инстанции, если лицо, подавшее кассационную жалобу, ходатайствует о таком приостановлении, при условии, что заявитель обосновал невозможность или затруднительность поворота исполнения судебных актов. В данном случае постановление суда округа не подразумевает какого-либо исполнения со стороны лиц, участвующих в деле, а поэтому основания для удовлетворения ходатайства отсутствуют. Руководствуясь статьями 184,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федерального государственного унитарного предприятия «Государственная корпорация по организации воздушного движения в Российской Федерации» о приостановлении исполнения постановления Арбитражного суда Московского округа от 11.08.2020 по делу № А40-309727/2019 отказать.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