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"Современные горные решения" (поставщик) обратилось в Арбитражный суд города Москвы с иском о взыскании с акционерного общества "Краснодаргазстрой" (покупателя) 79 500 долларов США задолженности, 12 455 долларов США штрафной неустойки по договору от 25.05.2018 № 08/05-2018, а также процентов за пользование чужими денежными средствами, начисленных на сумму задолженности с момента вынесения решения по день фактического исполнения обязательств по уплате долга. Судом принят встречный иск акционерного общества "Краснодаргазстрой" (покупателя) о взыскании с общества с ограниченной ответственностью "Современные горные решения" (поставщика) 11 624 914 рублей стоимости оплаченного товара ненадлежащего качества. Решением Арбитражного суда города Москвы от 22.10.2019 первоначальный иск удовлетворен в части взыскания 79 500 долларов США 2 задолженности, 7 950 долларов США неустойки, в удовлетворении иска в остальной части отказано; в удовлетворении встречного иска отказано. Постановлением Девятого арбитражного апелляционного суда от 27.01.2020 решение суда первой инстанции оставлено без изменения. Арбитражный суд Московского округа постановлением от 26.05.2020 указанные судебные акты оставил без изменения. Акционерное общество "Краснодаргазстрой"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выводы эксперта по результатам судебной экспертизы, в их совокупности и взаимной связи по правилам статей 64, 65, 71 Арбитражного процессуального кодекса Российской Федерации, учитывая доказанность факта поставки товара, устранение поставщиком недостатков (дефектов) поставленного оборудования, руководствуясь положениями статей 309, 310, 330, 395, 486, 506, 516 Гражданского кодекса Российской Федерации, разъяснениями, изложенными в пункте 42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выводам об обоснованности первоначального иска в части взыскания задолженности и договорной неустойки, снизив размер неустойки до установленного в пункте 5.2 договора лимита ответственности, и отсутствии оснований для удовлетворения встречного иска. Довод жалобы о необоснованном отказе в назначении повторной судебной экспертизы подлежит отклонению, поскольку в рассматриваемом случае отказ в назначении повторной экспертизы обоснованно мотивирован 3 отсутствием предусмотренных частью 2 статьи 87 Арбитражного процессуального кодекса Российской Федерации оснований.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Несогласие заявителя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"Краснодаргазстрой"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