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18.10.2019, оставленным без изменения постановлением Девятого арбитражного апелляционного суда от 25.12.2019 и постановлением Арбитражного суда Московского округа от 22.05.2020, исковые требования удовлетворены. В кассационной жалобе, поданной в Верховный Суд Российской Федерации, департамент, ссылаясь на незаконность указанных судебных актов, просит их отменить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департамент (государственный заказчик) и общество (технический заказчик) 11.04.2016 заключили государственный контракт № 0173200001516000010 (далее – контракт), по условиям которого общество обязалось оказать государственному заказчику услуги по исполнению функций технического заказчика с выполнением проектно-изыскательских работ. Общество, ссылаясь на выполнение работ по контракту и их неполную оплату департаментом,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руководствуясь статьями 309, 310, 329, 330, 702, 711, 720, 753, 779, 781 Гражданского кодекса Российской Федерации, суды первой и апелляционной инстанций удовлетворили заявленные требования, исходя из подтвержденности факта надлежащего выполнения истцом спорных работ, наличия у ответчика задолженности по оплате данных работ и нарушения последним срока их оплаты. С указанными выводами впоследствии согласился суд округа. Приведенные в кассационной жалобе доводы направлены на переоценку представленных в материалы дела доказательств и установленных судами фактических обстоятельств дела,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строительства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