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17.10.2019, оставленным без изменения постановлением Одиннадцатого арбитражного апелляционного суда от 18.12.2019 и постановлением Арбитражного суда 2 Поволжского округа от 28.05.2020, в удовлетворении заявленного требования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38 506 784 рублей налога на добавленную стоимость, начисления соответствующих сумм пеней и штрафа послужил вывод налогового органа о неправомерном применении обществом налоговых вычетов на основании счетов-фактур, выставленных от имени ООО СК «Ремстрой» за выполненные работы по договорам субподряда. Признавая решение инспекции в указанной части законным, суды, оценив представленные в материалы дела доказательства, руководствуясь положениями статей 146, 166, 169, 171, 172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доказанности совокупности обстоятельств, свидетельствующих о направленности действий общества на получение из бюджета необоснованной налоговой выгоды в виде завышения налоговых вычетов по налогу на добавленную стоимость путем фиктивного привлечения в качестве контрагента ООО СК «Ремстрой». Суды указали, что представленные по хозяйственным операциям первичные документы содержат недостоверные сведения и не подтверждают реальность выполнения работ заявленным в них контрагентом. При этом ООО СК «Ремстрой» зарегистрировано незадолго до заключения договора с обществом и обладает признаками номинальной 3 организации, не имеющей возможности осуществить выполнение работ, предусмотренных договорами подряда, в том числе по причине отсутствия необходимых материально-технических и трудовых ресурсов. Доводы, изложенные в кассационной жалобе, повторяют позицию общества по спору, являлись предметом рассмотрения судов и получили надлежащую правовую оценку с учетом установленных обстоятельств дела. Приведенные доводы не подтверждают существенных нарушений норм материального и процессуального права, повлиявших на исход дела, выражают несогласие с установленными судами фактическими обстоятельствами дела и направлены на переоценку доказательств,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«Девон»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