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непубличное акционерное общество «Никифор» обратилось в Арбитражный суд Свердловской области с иском к открытому акционерному обществу «Российские железные дороги» в лице Свердловского территориального центра фирменного транспортного обслуживания о взыскании 49 777 рублей 62 копеек убытков, причиненных недостачей принятого к перевозке груза. К участию в деле в качестве третьих лиц, не заявляющих самостоятельных требований относительно предмета спора, привлечены акционерное общество «РН-Транс», публичное акционерное общество «Нефтяная компания «Роснефть», Федеральное государственное предприятие «Ведомственная охрана железнодорожного транспорта Российской Федерации». Решением Арбитражного суда Свердловской области от 20.11.2019 иск удовлетворен. Постановлением Семнадцатого арбитражного апелляционного суда от 14.02.2020 решение суда первой инстанции оставлено без изменения. 2 Арбитражный суд Уральского округа постановлением от 26.06.2020 указанные судебные акты отменил и направил дело на новое рассмотрение в Арбитражный суд Свердловской области. Непубличное акционерное общество «Никифор»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с целью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непубличному акционерному обществу «Никифор»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