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"Монолит-тур" обратилось в Арбитражный суд Калужской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"ТП ХОНКО" 293 055 рублей задолженности, 175 833 рублей неустойки по договору поставки от 01.12.2016 № 38. Решением Арбитражного суда Калужской области от 25.10.2019 иск удовлетворен. Постановлением Двадцатого арбитражного апелляционного суда от 22.01.2020 решение суда первой инстанции оставлено без изменения. Арбитражный суд Центрального округа постановлением от 21.05.2020 указанные судебные акты оставил без изменения. Общество с ограниченной ответственностью "ТП ХОНКО"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установив факт передачи товара ответчику и нарушение ответчиком обязательства в части своевременной оплаты поставленной продукции, руководствуясь положениями статей 307 , 309 , 310 , 421 , 454 , 486 , 506 , 516 Гражданского кодекса Российской Федерации, статьей 9 Федерального закона от 06.12.2011 № 402-ФЗ "О бухгалтерском учете", суды пришли к выводу об обоснованности иска. Нарушений или неправильного применения норм процессуального права, в том числе связанных с извещением заявителя о месте и времени судебного заседания в суде кассационной инстанции (с учетом положений статьи 121 Арбитражного процессуального кодекса Российской Федерации, разъяснений, данных в постановлении Пленума Высшего Арбитражного Суда Российской Федерации от 17.02.2011 № 12 "О некоторых вопросах применения Арбитражного процессуального кодекса Российской Федерации в редакции Федерального закона от 27.07.2010 № 228-ФЗ "О внесении изменений в Арбитражный процессуальный кодекс Российской Федерации"), рассмотрением ходатайств о назначении экспертизы, отказом в привлечении к участию в деле третьего лица, не заявляющего самостоятельных требований относительно предмета спора,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Доводы жалобы о недоказанности факта поставки, несоразмерности заявленной к взысканию неустойки были рассмотрены судами и им дана надлежащая оценка.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"ТП ХОНКО"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АО Монолит-тур (подробнее) Ответчики: ООО ТП Хонко (подробнее) Судьи дела: Зарубина Е.Н. (судья) Судебная практика по: По договору поставки Судебная практика по применению норм ст. 506, 507 ГК РФ По договору купли продажи, договор купли продажи недвижимости Судебная практика по применению нормы ст. 454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