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04.10.2019, оставленным без изменения постановлениями Девятого арбитражного апелляционного суда от 16.12.2019 и Арбитражного суда Московского округа от 25.05.2020, в удовлетворении заявления отказано. В кассационной жалобе, поданной в Верховный Суд Российской Федерации, общество ссылается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проведенной в отношении общества с ограниченной ответственностью «Инфинити» (далее – ООО «Инфинити») выездной проверки с целью контроля соблюдения обязательных требований технических регламентов, проектной документации и других нормативно правовых документов в области градостроительной деятельности объекта капитального строительства управлением установлено, что обществом допущены нарушения обязательных требований проектной документации и иных нормативных правовых документов в области градостроительной деятельности. По результатам проверки составлен акт проверки от 26.04.2019 № 5.4-0940-пр-плА/0245-2019, обществу выдано оспариваемое предписание об устранении нарушений при строительстве, реконструкции объекта капитального строительства. Кроме того, на основании полученных данных в отношении общества составлен протокол об административном правонарушении от 22.05.2019 № 5.4-0940-пр-пл-ПР/0376-2019, в котором зафиксированы выявленные нарушения, и вынесено оспариваемое постановление о привлечении к административной ответственности на основании части 1 статьи 9.4 Кодекса Российской Федерации об административных правонарушениях (далее – КоАП РФ) с назначением наказания в виде штрафа в размере 100 000 рублей. Частью 1 статьи 9.4 КоАП РФ предусмотрена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Градостроительного кодекса Российской Федерации,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9.4 КоАП РФ. Вина общества состоит в том, что им не были приняты все необходимые и достаточные меры для надлежащего исполнения обязанностей, возложенных на него градостроительным законодательством.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Кроме того, суды пришли к выводу о том, что оспоренное предписание выдано уполномоченным на то органом, соответствует требованиям действующего законодательства и не нарушает прав и законных интересов заявителя. Довод общества о необоснованном отказе судом кассационной инстанции в удовлетворении ходатайства об отложении судебного заседания несостоятелен, поскольку с учетом изложенных в ходатайстве обстоятельств суд не усмотрел оснований для отложения заседания суда, сочтя, что общество имело возможность обеспечить явку своего представителя. Приведенные в жалобе доводы были рассмотрены судами и надлежащим образом оценены применительно к установленным фактическим обстоятельствам,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«ВИСТА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"ВИСТА ГРУПП" (подробнее) Ответчики: УФССП России по Москве (подробнее) Центральное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