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291.2 Арбитражного процессуального кодекса Российской Федерации кассационная жалоба подается в Верховный Суд Российской Федерации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В соответствии с частью 2 названной статьи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Настоящая кассационная жалоба подана заявителем в Верховный Суд Российской Федерации 26.08.2020 через систему «Мой арбитр», то есть по истечении как двухмесячного процессуального срока на обжалование судебного акта, так и пресекательного шестимесячного срока, в пределах которого срок подачи кассационной жалобы может быть восстановлен. При таких обстоятельствах ходатайство о восстановлении пропущенного срока следует оставить без удовлетворения, а кассационную жалобу – возвратить заявителю. Руководствуясь статьями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Фирсовой Татьяны Семеновны о восстановлении пропущенного процессуального срока отказать. Кассационную жалобу Фирсовой Татьяны Семеновны на Арбитражного суда Пермского края от 04.09.2019, постановление Семнадцатого арбитражного апелляционного суда от 14.11.2019 и постановление Арбитражного суда Уральского округа от 10.02.2020 по делу № А50-20757/2018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