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17.09.2019, оставленным без изменения постановлениями Тринадцатого арбитражного апелляционного суда от 03.12.2019 и Арбитражного суда Северо-Западного округа от 19.05.2020, в удовлетворении заявления отказано. В кассационной жалобе, поданной в Верховный Суд Российской Федерации, общество ссылается на существенные нарушения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дела № АК1039-18 по признакам административных правонарушений, предусмотренных частью 5 статьи 7.31.1 и частью 10 статьи 7.30 КоАП РФ, в отношении общества составлен протокол об административных правонарушениях от 11.10.2018, в котором зафиксированы выявленные нарушения, и вынесено оспариваемое постановление о привлечении к административной ответственности. В соответствии с частью 5 статьи 7.31.1 КоАП РФ нарушение оператором электронной площадки правил документооборота при проведении электронного аукциона, а также порядка и (или) сроков размещения, направления информации и (или) уведомлений, проектов контрактов, установленных законодательством Российской Федерации о контрактной системе в сфере закупок, влечет наложение административного штрафа в размере пятнадцати тысяч рублей. В силу части 10 статьи 7.30 КоАП РФ нарушение оператором электронной площадки порядка проведения аукциона в электронной форме, а также порядка аккредитации участника электронного аукциона, установленного законодательством Российской Федерации о контрактной системе в сфере закупок, влечет наложение административного штрафа в размере трехсот тысяч рублей. Оценив представленные доказательства,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суды пришли к выводу о наличии в действиях общества составов административных правонарушений, ответственность за которые предусмотрена частью 5 статьи 7.31.1 и частью 10 статьи 7.30 КоАП РФ. Установлено, что вина общества состоит в необеспечении надежности функционирования программных и технических средств в период проведения спорных аукционов. Судами проверены процедура и срок давности привлечения к административной ответственности, и установлено, что наказание в виде штрафа назначено в пределах санкции нормы, процедура не нарушена. Приведенные в жалобе доводы были рассмотрены судами и надлежащим образом оценены применительно к установленным фактическим обстоятельствам и исследованным доказательствам,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«Российский аукционный дом»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"РОССИЙСКИЙ АУКЦИОННЫЙ ДОМ" (подробнее) Ответчики: Федеральная антимонопольная служба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