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Страховая компания «Арсеналъ» обратилось в Арбитражный суд города Москвы с иском о взыскании с общества с ограниченной ответственностью Страховая компания «ВТБ Страхование» 1 753 014 рублей 38 копеек неосновательного обогащения. К участию в деле в качестве третьего лица, не заявляющего самостоятельных требований относительно предмета спора, привлечено Министерство внутренних дел Российской Федерации. Решением Арбитражного суда города Москвы от 13.06.2019 в удовлетворении иска отказано. Постановлением Девятого арбитражного апелляционного суда от 14.10.2019 решение суда первой инстанции оставлено без изменения. Арбитражный суд Московского округа постановлением от 15.05.2020 указанные судебные оставил без изменения. Общество с ограниченной ответственностью Страховая компания «Арсеналъ»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421 , 422 , 431 , 1102 Гражданского кодекса Российской Федерации,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Федерации» (с учетом изменений, внесенных Федеральным законом от 02.07.2013 № 165-ФЗ) и исходили из того, что по страховым случаям, полное формирование фактического состава которых было завершено в 2016 году, лицом, обязанным осуществить страховую выплату, являлся истец. Доводы жалобы,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