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19.12.2019, оставленным без изменения постановлением Девятого арбитражного апелляционного суда от 12.03.2020, исковые требования удовлетворены в части взыскания 18 000 рублей неустойки за просрочку безвозмездного устранения недостатка автомобиля, 1 000 рублей убытков от оплаты первоначальным кредитором юридических услуг по составлению претензии, 206 рублей 54 копеек почтовых расходов на отправку претензии, 197 рублей 69 копеек почтовых расходов на отправку уведомления о состоявшейся цессии, 217 рублей 08 копеек почтовых расходы на отправку претензии и 5 000 рублей штрафа. 2 Арбитражный суд Московского округа постановлением от 25.06.2020 решение от 19.12.2019 и постановление Девятого арбитражного апелляционного суда от 12.03.2020 оставил без изменения. В кассационных жалобах организация и гражданин Кислов А.А. просят об отмене судебных актов,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Уменьшение неустойки в силу статьи 333 Гражданского кодекса Российской Федерации является правом суда. В рассматриваемом случае суд уменьшил неустойку в связи с обоснованным заявлением ответчика о ее несоразмерности последствиям нарушения обязательства.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общественной организации инвалидов «Отрада» и гражданину Кислову А.А.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