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задолженности в сумме 4 191 155 рублей 55 копеек. Определением Арбитражного суда Московской области от 31.10.2019, оставленным без изменения постановлениями Десятого арбитражного апелляционного суда от 23.01.2020 и Арбитражного суда Московского округа от 29.06.2020,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16, 71, 100 Федерального закона от 26.10.2002 № 127-ФЗ «О несостоятельности (банкротстве)», и исходили из необоснованности заявленного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Pereire Trading Limited (Перейр Трейдинг Лимитед)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