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27.09.2019, оставленным без изменения постановлениями Тринадцатого арбитражного апелляционного суда от 27.01.2020 и Арбитражного суда Северо-Западного округа от 02.07.2020, заявленное требование удовлетворено. В кассационной жалобе антимонопольный орган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запроса котировок в электронной форме, участниками которого могут быть только субъекты малого и среднего предпринимательства, на право заключения договора на выполнение работ по текущему ремонту сплит-систем объектов службы Ш, проведенного в соответствии с Федеральным законом от 18.07.2011 № 223-ФЗ «О закупках товаров, работ, услуг отдельными видами юридических лиц» (далее - Закон о закупках). В связи с непредставлением в установленный срок подписанного со стороны общества договора заказчиком принято решение о признании его уклонившимся от заключения договора и направлении в антимонопольный орган обращения для включения общества в реестр недобросовестных поставщиков. По результатам рассмотрения поступивших сведений управлением вынесено оспариваемое заключение от 15.04.2019 № Т02-233/19 о направлении сведений в отношении общества в Федеральную антимонопольную службу для включения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Закона о закупках, принципами соразмерности и справедливости публично-правовой меры принуждения (ответственности) в виде включения в реестр недобросовестных поставщиков, суды пришли к выводу об отсутствии оснований для принятия антимонопольным органом оспоренного заключения. При этом судебные инстанции исходили из отсутствия в действиях общества умысла на уклонение от заключения договора. Суды приняли во внимание совершение обществом добропорядочных действий, направленных на устранение технической ошибки при подаче ценового предложения и по предотвращению срыва заключения договора, установили, что причины невозможности заключения и исполнения договора по предложенной цене являются объективными. Доводы, изложенные в кассационной жалобе, не свидетельствуют о существенных нарушениях судами норм материального и норм процессуального права, которые повлияли на исход дела, в связи с чем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"Смарт"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