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включении в реестр требований кредиторов должника (далее – реестр) 2 204 878 рублей 65 копеек – задолженности по заёмному обязательству, 1 277 802 рублей 63 копеек – процентов по займу и 2 924 425 рублей 54 копеек – штрафных санкций, как требования по возмещению убытков в форме упущенной выгоды, взысканию неустоек и применению иных штрафных санкций. Определением Арбитражного суда Московской области от 31.10.2019, оставленным без изменения постановлениями Десятого арбитражного апелляционного суда от 27.01.2020 и Арбитражного суда Московского округа от 10.06.2020,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16, 71, 100 Федерального закона от 26.10.2002 № 127-ФЗ «О несостоятельности (банкротстве)», исходили из необоснованности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Pereire Trading Limited (Перейр Трейдинг Лимитед)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