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Красноярского края от 05.09.2019, оставленным без изменения постановлением Третьего арбитражного апелляционного суда от 12.12.2019, в удовлетворении иска отказано. Арбитражный суд Восточно-Сибирского округа постановлением от 29.05.2020 решение от 05.09.2019 и постановление Третьего арбитражного апелляционного суда от 12.12.2019 оставил без изменения. В кассационной жалобе банк просит об отмене судебных актов, ссылаясь на недобросовестность агентства, содействовавшего прекращению договоров поручительства.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прекращение поручительств агентства в силу согласованного сторонами в договорах условия. Оснований для вывода о недобросовестности агентства не имелось, поскольку условия поручительств о уведомлении агентства об изменении договоров, влекущих увеличение ответственности поручителя, не исполнено банком.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"Россельхозбанк" (подробнее) АО "Российский сельскохозяйственный банк" (подробнее) Ответчики: АО "Агентство развития бизнеса и микрокредитная компания" (подробнее) Иные лица: ГУ Отдел по вопросам миграции МВД России по К-к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