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17.10.2019, оставленным без изменения постановлением Девятого арбитражного апелляционного суда от 19.12.2019, в удовлетворении иска отказано. Арбитражный суд Московского округа постановлением от 28.05.2020 решение от 17.10.2019 и постановление Девятого арбитражного апелляционного суда от 19.12.2019 оставил без изменения. В кассационной жалобе общество «Технотара» просит об отмене судебных актов, ссылаясь на наличие страхового случая. В соответствии с положениями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Страховым случаем по договору страхования ответственности застройщика является неисполнение или ненадлежащее исполнение обязательства по передаче жилого помещения. В рассматриваемом случае передача жилого помещения производится во исполнение реестра по передаче жилого помещения, в который заявитель изъявил волю включиться и о нарушении которого неизвестно, поэтому оснований для вывода о наступлении страхового случая не имеется, на что правильно указали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«Технотара»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"ТехноТара" (подробнее) Ответчики: ООО "ПРОМИНСТРАХ"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