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«Финансовая корпорация Открытие» (далее – банк) обратилось в суд с заявлением о признании должника несостоятельным (банкротом). Определением Арбитражного суда города Москвы от 16.05.2019, оставленным без изменения постановлением Девятого арбитражного апелляционного суда от 09.07.2019, заявление оставлено без рассмотрения. Постановлением Арбитражного суда Московского округа от 05.09.2019 вышеуказанные судебные акты в части оставления без рассмотрения требования банка о включении в реестр требований кредиторов должника отменены, дело в отменённой части направлено на новое рассмотрение в Арбитражный суд города Москвы. При новом рассмотрении определением Арбитражного суда города Москвы от 30.10.2019, оставленным без изменения постановлениями Девятого арбитражного апелляционного суда от 17.01.2020 и Арбитражного суда Московского округа от 09.06.2020, требования банка в размере 119 905 066 рублей 25 копеек долга, процентов и неустойки признаны обоснованными и включены в третью очередь реестра требований кредиторов должника, с учетом применения пункта 3 статьи 137 Федерального закона 2 от 26.10.2002 № 127-ФЗ «О несостоятельности (банкротстве)» (далее – Закон о банкротстве). В кассационной жалобе, поданной в Верховный Суд Российской Федерации, заявитель просит передать её вместе с делом для рассмотрения в судебном заседании Судебной коллегии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382, 384, 809, 810, 819 Гражданского кодекса Российской Федерации, статьями 71, 100, 142, 137 Закона о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приобретения права требования к должнику задолго до обращения в суд заявлением о признании последнего банкротом; возникновения самого требования из реальных правоотношений не связанных между собою лиц при подтверждённой экономической целесообразности сделки, в связи с чем пришли к выводам об обоснованности заявленных требований, не преследующих противоправных целей уменьшения в интересах должника и его аффилированных лиц количества голосов, приходящихся на долю независимых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о заинтересованности банка по отношению к должнику, наряду с иными изложенными в кассационной жалобе доводами были предметом рассмотрения судов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Герденикс Инвестментс Лимитед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