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20.08.2019 удовлетворено заявление финансового управляющего имуществом должника Слепова Сергея Ивановича об утверждении Положения о порядке, сроках и условиях продажи имущества должника. Не согласившись с названным судебным актом, Гордеева Л.Г. обратилась в суд с апелляционной жалобой. Определением Первого арбитражного апелляционного суда от 30.10.2019 апелляционная жалоба возвращена заявителю на основании пункта 3 части первой статьи 264 Арбитражного процессуального кодекса Российской Федерации в связи с пропуском срока её подачи и отказом в удовлетворении ходатайства о его восстановлении. Определением Арбитражного суда Волго-Вятского округа от 18.02.2020, оставленным без изменения коллегиальным определением того же суда от 04.06.2020, кассационная жалоба на вышеуказанное определение апелляционного суда возвращена заявителю на основании пункта 2 части 1 статьи 281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соответствующий арбитражный суд. 2 Письмом Верховного Суда Российской Федерации от 10.07.2020 № 301-ЭС20-5615 настоящая кассационная жалоба заявителя в части обжалования определений Арбитражного суда Нижегородской области от 20.08.2019 и Первого арбитражного апелляционного суда от 30.10.2019 по настоящему делу возвращена без рассмотрения применительно к пункту 5 части 1 статьи 291.5 Арбитражного процессуального кодекса Российской Федерации как поданная с нарушением правил подсудности, установленных пунктом 1 части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окружной суд, руководствуясь положениями статей 117, 121, 276, 281 Арбитражного процессуального кодекса Российской Федерации, абзацем пятым пункта 34 постановления Пленума Высшего Арбитражного Суда Российской Федерации от 25.12.2013 № 99 «О процессуальных сроках», не нашел оснований для признания уважительными причин пропуска срока на кассационное обжалование судебного акта заявителем, осведомлённой надлежащим образом о рассмотрении обособленного спора, активно использующей систему электронной подачи документов «Мой Арбитр» и не приведшей убедительных доводов в обоснование объективной невозможности осуществления соответствующих процессуальных действий в отведённый для этого законом срок.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в том числе, лишение заявителя права на судебную защиту,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Гордеевой Ларисе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