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13.11.2019, оставленным без изменения постановлением Пятнадцатого арбитражного апелляционного суда от 24.01.2020 и постановлением Арбитражного суда Северо-Кавказского округа от 20.05.2020, с компании в пользу общества взыскано 219 591 руб. 21 коп. неустойки, в удовлетворении остальной части первоначального иска отказано; с общества в пользу компании взыскано 255 000 руб. неосновательного обогащения, 7147 руб. 09 коп. расходов по уплате государственной пошлины, в удовлетворении остальной части встречного иска отказано; произведен зачет первоначальных и встречных требований, в результате которого с общества в пользу компании взыскано 11 350 руб. 37 коп.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в части снижения размера неустойки и принять в этой части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нарушения компанией срока оплаты задолженности по заключенному сторонами соглашению от 28.12.2017, руководствуясь статьями 330 , 331 Гражданского кодекса Российской Федерации, суды первой и апелляционной инстанций, с которыми согласился суд округа, признали обоснованным начисление обществом неустойки. Проверив и скорректировав представленный обществом расчет, рассмотрев ходатайство компании о снижении размера неустойки, суды пришли к выводу о наличии оснований для применения статьи 333 Гражданского кодекса Российской Федерации и снизили размер неустойки до 219 591 руб. 21 коп. Доводы заявителя о необоснованном снижении размера неустойки аналогичны доводам, заявлявшимся в судах нижестоящих инстанций, которым дана надлежащая правовая оценка, по сути, сводятся к переоценке установленных судами фактических обстоятельств, что не входит в полномочия Верховного Суда Российской Федерации. Изложенные в кассационной жалобе доводы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кассационной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«Черкесские строительные материалы»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"Черкесскстром" (подробнее) Ответчики: ООО "Югресурс"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