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19.07.2019 исковые требования удовлетворены. Общество обратилось в Двадцать первый арбитражный апелляционный суд с апелляционной жалобой на решение суда первой инстанции, заявив ходатайство о восстановлении пропущенного процессуального срока. Двадцать первый арбитражный апелляционный суд определением от 28.02.2020 возвратил апелляционную жалобу общества на основании пункта 3 части 1 статьи 264 Арбитражного процессуального кодекса Российской Федерации в связи с пропуском срока подачи жалобы и отказом в удовлетворении ходатайства о его восстановлении. Постановлением Арбитражного суда Центрального округа от 18.05.2019 определение апелляционного суда оставлено без изменения. В кассационной жалобе, поданной в Верховный Суд Российской Федерации, общество просит отменить указанные судебные акты, ссылаясь на их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Отказывая в восстановлении пропущенного процессуального срока и возвращая апелляционную жалобу, суд апелляционной инстанции, с которым согласился суд округа, руководствовался положениями статей 7 , 8 , 121 , 123 , 259 , 264 Арбитражного процессуального кодекса Российской Федерации, разъяснениями, приведенными в пункте 14 постановления Пленума Высшего Арбитражного Суда Российской Федерации от 28.05.2009 № 36 «О применении Арбитражного процессуального кодекса Российской Федерации при рассмотрении дел в арбитражном суде апелляционной инстанции», пункте 32 постановления Пленума Высшего Арбитражного Суда Российской Федерации от 25.12.2013 № 99 «О процессуальных сроках», и исходил из того, что с жалобой на решение от 19.07.2019 общество обратилось 07.02.2020, то есть с пропуском установленного законом шестимесячного срока. При этом суд указал, что общество было надлежащим образом извещено о судебном процессе и какие-либо уважительные причины пропуска срока на подачу жалобы отсутствуют. Доводы кассационной жалобы не опровергают выводы судов и не подтверждают существенных нарушений судами норм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ответственной «Источник»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Администрация города Керчи Республики Крым (подробнее) Ответчики: ООО "Источник"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