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 в удовлетворении исковых требований отказано. Постановлением Девятого арбитражного апелляционного суда от 28.01.2020, оставленным без изменения постановлением Арбитражного суда Московского округа от 26.05.2020, решение суда первой инстанции отменено; с общества в пользу компании взыскано 201 423 руб. 48 коп. задолженности, 201 423 руб. 48 коп. неустойки, а также неустойка за просрочку платежа на сумму задолженности по ставке 0,1 % за период с 25.06.2019 по день фактического исполнения обязательства;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Девятый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компания (арендодатель) и общество (арендатор) 07.11.2017 заключили договор аренды № J1711-57 (далее – договор), по условиям которого арендатору передано помещение общей площадью 280,2 кв. м, расположенное по адресу: г. Москва, ул. Ленинская слобода, д. 17. В соответствии с пунктами 4.3.1, 4.6 договора ежемесячная стоимость арендной платы с ноября 2018 года составляет 1 980 621 руб., в том числе налог на добавленную стоимость – 18 %. Сославшись на увеличение ставки налога на добавленную стоимость с 01.01.2019 до 20 %, компания направила в адрес общества дополнительное соглашение об увеличении размера арендной платы на 2 % с 01.01.2019. Поскольку общество в период с января по июнь 2019 года не произвело уплату арендных платежей в полном объеме, компания обратилась в арбитражный суд с настоящим иском. Отказывая в удовлетворении исковых требований, суд первой инстанции исходил из их необоснованности. Суд апелляционной инстанции, повторно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333 , 606 , 614 Гражданского кодекса Российской Федерации, пришел к выводу о наличии оснований для частичного удовлетворения исковых требований. При этом апелляционный суд исходил из того, что по условиям договора арендодатель вправе соразмерно увеличить размер арендной платы в случае повышения ставки налога, данное увеличение происходит на основании одностороннего уведомления арендодателя и не предполагает внесения дополнений в договор или заключение дополнительных соглашений; арендатор уведомлен об увеличении размера арендной платы, однако факт внесения арендных платежей в спорный период в соответствующем размере не подтвердил, в связи с чем с него надлежит взыскать задолженность и неустойку, размер которой по ходатайству ответчика подлежит снижению по правилам статьи 333 Гражданского кодекса Российской Федерации.С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судами норм материального и процессуального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«Бургер Рус»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"ХАЙТДЖИНРО-РУСЬ ФУД КОМПАНИ" (подробнее) Ответчики: ООО "БУРГЕР РУС"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